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/>
          <w:b/>
          <w:b/>
          <w:bCs/>
          <w:sz w:val="28"/>
          <w:szCs w:val="28"/>
        </w:rPr>
      </w:pPr>
      <w:r>
        <w:rPr/>
        <w:drawing>
          <wp:inline distT="0" distB="0" distL="0" distR="0">
            <wp:extent cx="860425" cy="74104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ПРОЕКТ 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Российская Федерация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Самарская область 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Web"/>
        <w:spacing w:beforeAutospacing="0" w:before="0" w:after="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СОБРАНИЕ ПРЕДСТАВИТЕЛЕЙ </w:t>
      </w:r>
    </w:p>
    <w:p>
      <w:pPr>
        <w:pStyle w:val="NormalWeb"/>
        <w:spacing w:beforeAutospacing="0" w:before="0" w:after="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СЕЛЬСКОГО ПОСЕЛЕНИЯ  ВЫСЕЛКИ </w:t>
      </w:r>
    </w:p>
    <w:p>
      <w:pPr>
        <w:pStyle w:val="NormalWeb"/>
        <w:spacing w:beforeAutospacing="0" w:before="0" w:after="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МУНИЦИПАЛЬНОГО РАЙОНА СТАВРОПОЛЬСКИЙ</w:t>
      </w:r>
    </w:p>
    <w:p>
      <w:pPr>
        <w:pStyle w:val="NormalWeb"/>
        <w:widowControl/>
        <w:numPr>
          <w:ilvl w:val="0"/>
          <w:numId w:val="0"/>
        </w:numPr>
        <w:spacing w:lineRule="auto" w:line="276" w:beforeAutospacing="0" w:before="0" w:after="0"/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САМАРСКОЙ ОБЛАСТИ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РЕШЕНИЕ </w:t>
      </w:r>
    </w:p>
    <w:p>
      <w:pPr>
        <w:pStyle w:val="Normal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от                 </w:t>
      </w:r>
      <w:r>
        <w:rPr>
          <w:rFonts w:ascii="Times New Roman" w:hAnsi="Times New Roman"/>
          <w:b/>
          <w:sz w:val="26"/>
          <w:szCs w:val="26"/>
        </w:rPr>
        <w:t>2020</w:t>
      </w:r>
      <w:r>
        <w:rPr>
          <w:rFonts w:ascii="Times New Roman" w:hAnsi="Times New Roman"/>
          <w:b/>
          <w:sz w:val="26"/>
          <w:szCs w:val="26"/>
        </w:rPr>
        <w:t xml:space="preserve"> года                                                                                        № </w:t>
      </w:r>
    </w:p>
    <w:p>
      <w:pPr>
        <w:pStyle w:val="Normal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08"/>
          <w:tab w:val="left" w:pos="142" w:leader="none"/>
        </w:tabs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внесении изменений в Правила землепользования и застройки </w:t>
        <w:br/>
        <w:t xml:space="preserve">сельского поселения Выселки муниципального района Ставропольский </w:t>
        <w:br/>
        <w:t>Самарской области</w:t>
      </w:r>
    </w:p>
    <w:p>
      <w:pPr>
        <w:pStyle w:val="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142" w:leader="none"/>
        </w:tabs>
        <w:spacing w:lineRule="auto" w:line="360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со статьями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Выселки муниципального района Ставропольский Самарской области от11.01.2021года, Собрание представителей сельского поселения Выселки муниципального района Ставропольский Самарской области решило:</w:t>
      </w:r>
    </w:p>
    <w:p>
      <w:pPr>
        <w:pStyle w:val="Normal"/>
        <w:spacing w:lineRule="auto" w:line="360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Внести следующие изменения в Правила землепользования и застройки сельского </w:t>
      </w:r>
      <w:r>
        <w:rPr>
          <w:rFonts w:ascii="Times New Roman" w:hAnsi="Times New Roman"/>
          <w:bCs/>
          <w:sz w:val="26"/>
          <w:szCs w:val="26"/>
        </w:rPr>
        <w:t>поселения Выселки</w:t>
      </w:r>
      <w:r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области, утвержденные Собранием представителей сельского </w:t>
      </w:r>
      <w:r>
        <w:rPr>
          <w:rFonts w:ascii="Times New Roman" w:hAnsi="Times New Roman"/>
          <w:bCs/>
          <w:sz w:val="26"/>
          <w:szCs w:val="26"/>
        </w:rPr>
        <w:t xml:space="preserve">поселения </w:t>
        <w:br/>
        <w:t>Выселки</w:t>
      </w:r>
      <w:r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bCs/>
          <w:sz w:val="26"/>
          <w:szCs w:val="26"/>
        </w:rPr>
        <w:t xml:space="preserve"> от 30.12.2013 №36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(далее по тексту – Правила):</w:t>
      </w:r>
    </w:p>
    <w:p>
      <w:pPr>
        <w:pStyle w:val="Normal"/>
        <w:spacing w:lineRule="auto" w:line="360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в статье 20 Правил:</w:t>
      </w:r>
    </w:p>
    <w:p>
      <w:pPr>
        <w:pStyle w:val="Normal"/>
        <w:spacing w:lineRule="auto" w:line="360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слова «в масштабах 1:25 000 и 1:5 000» заменить словами «в масштабах 1:25 000 и 1:10 000»;</w:t>
      </w:r>
    </w:p>
    <w:p>
      <w:pPr>
        <w:pStyle w:val="Normal"/>
        <w:spacing w:lineRule="auto" w:line="360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статью 21 Правил изложить в следующей редакции:</w:t>
      </w:r>
    </w:p>
    <w:p>
      <w:pPr>
        <w:pStyle w:val="Normal"/>
        <w:numPr>
          <w:ilvl w:val="0"/>
          <w:numId w:val="0"/>
        </w:numPr>
        <w:spacing w:before="240" w:after="240"/>
        <w:ind w:left="0" w:firstLine="851"/>
        <w:contextualSpacing/>
        <w:jc w:val="both"/>
        <w:outlineLvl w:val="2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b/>
          <w:sz w:val="26"/>
          <w:szCs w:val="26"/>
        </w:rPr>
        <w:t>Статья 21. Перечень территориальных зон</w:t>
      </w:r>
    </w:p>
    <w:p>
      <w:pPr>
        <w:pStyle w:val="Normal"/>
        <w:tabs>
          <w:tab w:val="clear" w:pos="708"/>
          <w:tab w:val="left" w:pos="0" w:leader="none"/>
        </w:tabs>
        <w:spacing w:lineRule="auto" w:line="360" w:before="0" w:after="20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карте градостроительного зонирования поселения выделены следующие территориальные зоны и подзоны:</w:t>
      </w:r>
    </w:p>
    <w:tbl>
      <w:tblPr>
        <w:tblW w:w="9565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384"/>
        <w:gridCol w:w="8180"/>
      </w:tblGrid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ind w:firstLine="601"/>
              <w:rPr>
                <w:rFonts w:ascii="Times New Roman" w:hAnsi="Times New Roman"/>
                <w:b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1) Жилые зоны: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Ж1</w:t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застройки индивидуальными жилыми домами;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Ж2</w:t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застройки малоэтажными жилыми домами;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Ж8</w:t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комплексной застройки;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ind w:firstLine="601"/>
              <w:rPr>
                <w:rFonts w:ascii="Times New Roman" w:hAnsi="Times New Roman"/>
                <w:b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2) Общественно-деловая зона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О1</w:t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размещения объектов делового, общественного,  коммерческого, социального и коммунально-бытового назначения;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О2</w:t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специализированной общественной застройки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ind w:firstLine="601"/>
              <w:rPr>
                <w:rFonts w:ascii="Times New Roman" w:hAnsi="Times New Roman"/>
                <w:b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3) Производственные зоны: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П1</w:t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Производственная зона;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П1-4</w:t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Подзона производственных и коммунально-складских объектов № 4;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П1-5</w:t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Подзона производственных и коммунально-складских объектов № 5;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ind w:firstLine="601"/>
              <w:rPr>
                <w:rFonts w:ascii="Times New Roman" w:hAnsi="Times New Roman"/>
                <w:b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4) Зоны инженерной и транспортной инфраструктур: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инженерной инфраструктуры;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</w:t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инженерной и транспортной инфраструктуры;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ind w:firstLine="601"/>
              <w:rPr>
                <w:rFonts w:ascii="Times New Roman" w:hAnsi="Times New Roman"/>
                <w:b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5) Зоны рекреационного назначения: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Р2</w:t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природного ландшафта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ind w:firstLine="601"/>
              <w:rPr>
                <w:rFonts w:ascii="Times New Roman" w:hAnsi="Times New Roman"/>
                <w:b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6) Зоны сельскохозяйственного использования: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Сх1</w:t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сельскохозяйственных угодий;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Сх2</w:t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Зона, занятая объектами сельскохозяйственного назначения;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Сх2-4</w:t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Подзона, занятая объектами сельскохозяйственного назначения № 4;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Сх2-5</w:t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Подзона, занятая объектами сельскохозяйственного назначения № 5;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Сх3</w:t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огородничества;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Сх4</w:t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садоводства;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Сх5</w:t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огородничества и садоводства;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ind w:firstLine="601"/>
              <w:rPr>
                <w:rFonts w:ascii="Times New Roman" w:hAnsi="Times New Roman"/>
                <w:b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7) Зоны специального назначения:</w:t>
            </w:r>
          </w:p>
        </w:tc>
      </w:tr>
      <w:tr>
        <w:trPr/>
        <w:tc>
          <w:tcPr>
            <w:tcW w:w="13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Сп1</w:t>
            </w:r>
          </w:p>
        </w:tc>
        <w:tc>
          <w:tcPr>
            <w:tcW w:w="81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специального назначения, связанная с захоронениями. »</w:t>
            </w:r>
          </w:p>
        </w:tc>
      </w:tr>
    </w:tbl>
    <w:p>
      <w:pPr>
        <w:pStyle w:val="Normal"/>
        <w:spacing w:lineRule="auto" w:line="360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в статье 22 Правил исключить содержание видов разрешенного использования территориальных зон Ж5 Зона размещения объектов дошкольного и общего образования и Ж6 Зона смешанной застройки;</w:t>
      </w:r>
    </w:p>
    <w:p>
      <w:pPr>
        <w:pStyle w:val="Normal"/>
        <w:spacing w:lineRule="auto" w:line="360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статью 23 Правил дополнить видами разрешенного использования территориальной зоны О2 Зона специализированной общественной застройки следующего содержания:</w:t>
      </w:r>
    </w:p>
    <w:p>
      <w:pPr>
        <w:pStyle w:val="Normal"/>
        <w:spacing w:lineRule="auto" w:line="360"/>
        <w:ind w:firstLine="851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О2 Зона специализированной общественной застройки</w:t>
      </w:r>
    </w:p>
    <w:p>
      <w:pPr>
        <w:pStyle w:val="Normal"/>
        <w:spacing w:lineRule="auto" w:line="360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Зона специализированной общественной застройки О2 установлена для обеспечения условий формирования территорий с широким спектром социальных и коммунально-бытовых функций.</w:t>
      </w:r>
    </w:p>
    <w:tbl>
      <w:tblPr>
        <w:tblW w:w="9754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688"/>
        <w:gridCol w:w="5359"/>
        <w:gridCol w:w="1707"/>
      </w:tblGrid>
      <w:tr>
        <w:trPr/>
        <w:tc>
          <w:tcPr>
            <w:tcW w:w="9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3.5.1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>
        <w:trPr/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742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686"/>
        <w:gridCol w:w="5359"/>
        <w:gridCol w:w="1697"/>
      </w:tblGrid>
      <w:tr>
        <w:trPr/>
        <w:tc>
          <w:tcPr>
            <w:tcW w:w="9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>
        <w:trPr/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>
        <w:trPr/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5.1.3</w:t>
            </w:r>
          </w:p>
        </w:tc>
      </w:tr>
      <w:tr>
        <w:trPr/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>
        <w:trPr/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742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686"/>
        <w:gridCol w:w="5359"/>
        <w:gridCol w:w="1697"/>
      </w:tblGrid>
      <w:tr>
        <w:trPr/>
        <w:tc>
          <w:tcPr>
            <w:tcW w:w="9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>
        <w:trPr/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>
        <w:trPr/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</w:tbl>
    <w:p>
      <w:pPr>
        <w:pStyle w:val="Normal"/>
        <w:spacing w:lineRule="auto" w:line="360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360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5) в статье 26 Правил исключить содержание видов разрешенного использования территориальных зон Р1 </w:t>
      </w:r>
      <w:r>
        <w:rPr>
          <w:rFonts w:ascii="Times New Roman" w:hAnsi="Times New Roman"/>
          <w:sz w:val="28"/>
          <w:szCs w:val="28"/>
        </w:rPr>
        <w:t>Зона скверов, парков, бульваров</w:t>
      </w:r>
      <w:r>
        <w:rPr>
          <w:rFonts w:ascii="Times New Roman" w:hAnsi="Times New Roman"/>
          <w:sz w:val="26"/>
          <w:szCs w:val="26"/>
        </w:rPr>
        <w:t xml:space="preserve"> и Р3 Зона отдыха, занятий физической культурой и спортом;</w:t>
      </w:r>
    </w:p>
    <w:p>
      <w:pPr>
        <w:pStyle w:val="Normal"/>
        <w:spacing w:lineRule="auto" w:line="360"/>
        <w:ind w:firstLine="851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6) статью 29 Правил изложить в следующей редакции:</w:t>
      </w:r>
    </w:p>
    <w:p>
      <w:pPr>
        <w:pStyle w:val="Normal"/>
        <w:numPr>
          <w:ilvl w:val="0"/>
          <w:numId w:val="0"/>
        </w:numPr>
        <w:spacing w:before="240" w:after="240"/>
        <w:ind w:left="0" w:firstLine="851"/>
        <w:jc w:val="both"/>
        <w:outlineLvl w:val="2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b/>
          <w:sz w:val="26"/>
          <w:szCs w:val="26"/>
        </w:rPr>
        <w:t xml:space="preserve">Статья 29.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 </w:t>
      </w:r>
    </w:p>
    <w:tbl>
      <w:tblPr>
        <w:tblW w:w="9923" w:type="dxa"/>
        <w:jc w:val="left"/>
        <w:tblInd w:w="85" w:type="dxa"/>
        <w:tblLayout w:type="fixed"/>
        <w:tblCellMar>
          <w:top w:w="0" w:type="dxa"/>
          <w:left w:w="85" w:type="dxa"/>
          <w:bottom w:w="0" w:type="dxa"/>
          <w:right w:w="85" w:type="dxa"/>
        </w:tblCellMar>
        <w:tblLook w:val="01e0"/>
      </w:tblPr>
      <w:tblGrid>
        <w:gridCol w:w="707"/>
        <w:gridCol w:w="3403"/>
        <w:gridCol w:w="1134"/>
        <w:gridCol w:w="1133"/>
        <w:gridCol w:w="1134"/>
        <w:gridCol w:w="1134"/>
        <w:gridCol w:w="1277"/>
      </w:tblGrid>
      <w:tr>
        <w:trPr>
          <w:trHeight w:val="20" w:hRule="atLeast"/>
          <w:cantSplit w:val="true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-38" w:hanging="0"/>
              <w:jc w:val="center"/>
              <w:outlineLvl w:val="0"/>
              <w:rPr>
                <w:rFonts w:ascii="Times New Roman" w:hAnsi="Times New Roman" w:eastAsia="Times New Roman"/>
                <w:b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  <w:t xml:space="preserve">№ </w:t>
            </w: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eastAsia="Times New Roman"/>
                <w:b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eastAsia="Times New Roman"/>
                <w:b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5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 w:eastAsia="Times New Roman"/>
                <w:b/>
                <w:b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ind w:left="-38" w:hang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О2</w:t>
            </w:r>
          </w:p>
        </w:tc>
      </w:tr>
      <w:tr>
        <w:trPr>
          <w:trHeight w:val="31" w:hRule="atLeast"/>
        </w:trPr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ind w:left="-38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pacing w:before="0" w:after="0"/>
              <w:ind w:left="-38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Минимальная площадь земельного участка для индивидуальной жилой застройки, кв.м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pacing w:before="0" w:after="0"/>
              <w:ind w:left="-38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земельного участка для индивидуальной жилой застройки, кв.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pacing w:before="0" w:after="0"/>
              <w:ind w:left="-38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Минимальная площадь земельного участка для блокированной жилой застройки, кв.м на каждый блок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537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pacing w:before="0" w:after="0"/>
              <w:ind w:left="-38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земельного участка для блокированной жилой застройки, кв.м на каждый  блок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spacing w:before="0" w:after="0"/>
              <w:ind w:left="-38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Минимальная площадь земельного участка для ведения личного подсобного хозяйства, кв.м.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404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pacing w:before="0" w:after="0"/>
              <w:ind w:left="-38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земельного участка для ведения личного подсобного хозяйства, кв.м.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pacing w:before="0" w:after="0"/>
              <w:ind w:left="-38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Минимальная площадь земельного участка для многоквартирной жилой застройки до трех этажей, кв.м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left="-38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земельного участка для многоквартирной жилой застройки до трех этажей, кв.м.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подлежит ограничению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pacing w:before="0" w:after="0"/>
              <w:ind w:left="-38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Минимальная площадь земельного участка для многоквартирной жилой застройки свыше трех этажей, кв.м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563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left="-38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земельного участка для многоквартирной жилой застройки свыше трех этажей, кв.м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подлежит ограничению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18"/>
              </w:numPr>
              <w:spacing w:before="0" w:after="0"/>
              <w:ind w:left="-38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Минимальная площадь земельного участка для садоводства и дачного хозяйства, кв.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spacing w:before="0" w:after="0"/>
              <w:ind w:left="-38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земельного участка для садоводства и дачного хозяйства, кв.м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20"/>
              </w:numPr>
              <w:spacing w:before="0" w:after="0"/>
              <w:ind w:left="-38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Минимальная площадь земельного участка для огородничества, кв.м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21"/>
              </w:numPr>
              <w:spacing w:before="0" w:after="0"/>
              <w:ind w:left="-38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земельного участка для огородничества, кв.м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22"/>
              </w:numPr>
              <w:spacing w:before="0" w:after="0"/>
              <w:ind w:left="-38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Times New Roman" w:ascii="Times New Roman" w:hAnsi="Times New Roman"/>
              </w:rPr>
              <w:t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</w:rPr>
              <w:t>4000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4000</w:t>
            </w:r>
          </w:p>
        </w:tc>
      </w:tr>
      <w:tr>
        <w:trPr>
          <w:trHeight w:val="1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-38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Минимальная площадь земельного участка для размещения объектов среднего профессионально и высшего проф. образования,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/>
              </w:rPr>
              <w:t>7500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7500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7500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24"/>
              </w:numPr>
              <w:spacing w:before="0" w:after="0"/>
              <w:ind w:left="-38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 xml:space="preserve">Минимальная площадь земельного участка для размещения </w:t>
            </w:r>
            <w:r>
              <w:rPr>
                <w:rFonts w:ascii="Times New Roman" w:hAnsi="Times New Roman"/>
                <w:bCs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кв.м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4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spacing w:before="0" w:after="0"/>
              <w:ind w:left="-38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Минимальная площадь земельного участка для иных основных и условно-разрешенных видов использования земельных участков, за исключением, указанных в пунктах 1-15 настоящей таблицы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100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1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ind w:left="-38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Максимальная площадь земельного участка для иных основных и условно-разрешенных видов использования земельных участков, за исключением, указанных в пунктах 1-15 настоящей таблицы</w:t>
            </w:r>
          </w:p>
        </w:tc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не подлежит ограничению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не подлежит ограничению</w:t>
            </w:r>
          </w:p>
        </w:tc>
      </w:tr>
      <w:tr>
        <w:trPr>
          <w:trHeight w:val="31" w:hRule="atLeast"/>
        </w:trPr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ind w:left="-38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eastAsia="Times New Roman" w:ascii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401" w:leader="none"/>
              </w:tabs>
              <w:spacing w:before="0" w:after="0"/>
              <w:ind w:left="-38" w:hanging="0"/>
              <w:contextualSpacing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высота зданий, строений, сооружений,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rPr>
          <w:trHeight w:val="31" w:hRule="atLeast"/>
        </w:trPr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ind w:left="-38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Минимальные отступы от границ земельных участков </w:t>
            </w:r>
            <w:r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27"/>
              </w:numPr>
              <w:spacing w:before="0" w:after="0"/>
              <w:ind w:left="-38" w:hanging="0"/>
              <w:contextualSpacing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Минимальный отступ от границ земельных участков до отдельно стоящих зданий,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28"/>
              </w:numPr>
              <w:spacing w:before="0" w:after="0"/>
              <w:ind w:left="-38" w:hanging="0"/>
              <w:contextualSpacing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Минимальный отступ от границ земельных участков до строений и сооружений,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29"/>
              </w:numPr>
              <w:spacing w:before="0" w:after="0"/>
              <w:ind w:left="-38" w:hanging="0"/>
              <w:contextualSpacing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29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30"/>
              </w:numPr>
              <w:spacing w:before="0" w:after="0"/>
              <w:ind w:left="-38" w:hanging="0"/>
              <w:contextualSpacing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  <w:bCs/>
              </w:rPr>
              <w:t xml:space="preserve">Минимальный отступ от границ земельных участков до </w:t>
            </w:r>
            <w:r>
              <w:rPr>
                <w:rFonts w:eastAsia="Times New Roman" w:ascii="Times New Roman" w:hAnsi="Times New Roman"/>
              </w:rPr>
              <w:t xml:space="preserve"> дошкольных образовательных учреждений и объектов начального общего и среднего (полного) общего образования</w:t>
            </w:r>
            <w:r>
              <w:rPr>
                <w:rFonts w:eastAsia="MS MinNew Roman" w:ascii="Times New Roman" w:hAnsi="Times New Roman"/>
                <w:bCs/>
              </w:rPr>
              <w:t xml:space="preserve"> ,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>
        <w:trPr>
          <w:trHeight w:val="31" w:hRule="atLeast"/>
        </w:trPr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ind w:left="-38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Максимальный процент застройки </w:t>
            </w:r>
            <w:r>
              <w:rPr>
                <w:rFonts w:ascii="Times New Roman" w:hAnsi="Times New Roman"/>
                <w:b/>
                <w:color w:val="000000"/>
              </w:rPr>
              <w:t>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31"/>
              </w:numPr>
              <w:spacing w:before="0" w:after="0"/>
              <w:ind w:left="-38" w:hanging="0"/>
              <w:contextualSpacing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both"/>
              <w:outlineLvl w:val="0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Максимальный процент застройки в границах земельного участка для индивидуальной жилой застройки, %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</w:rPr>
              <w:t>60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350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32"/>
              </w:numPr>
              <w:spacing w:before="0" w:after="0"/>
              <w:ind w:left="-38" w:hanging="0"/>
              <w:contextualSpacing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both"/>
              <w:outlineLvl w:val="0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Максимальный процент застройки в границах земельного участка для ведения личного подсобного хозяйства, %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both"/>
              <w:outlineLvl w:val="0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350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33"/>
              </w:numPr>
              <w:spacing w:before="0" w:after="0"/>
              <w:ind w:left="-38" w:hanging="0"/>
              <w:contextualSpacing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both"/>
              <w:outlineLvl w:val="0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Максимальный процент застройки в границах земельного участка для блокированной жилой застройки, %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</w:rPr>
              <w:t>80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293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34"/>
              </w:numPr>
              <w:spacing w:before="0" w:after="0"/>
              <w:ind w:left="-38" w:hanging="0"/>
              <w:contextualSpacing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</w:rPr>
              <w:t>Максимальный процент застройки в границах земельного участка для многоквартирной жилой застройки,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289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35"/>
              </w:numPr>
              <w:spacing w:before="0" w:after="0"/>
              <w:ind w:left="-38" w:hanging="0"/>
              <w:contextualSpacing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</w:rPr>
            </w:pPr>
            <w:r>
              <w:rPr>
                <w:rFonts w:eastAsia="MS MinNew Roman" w:ascii="Times New Roman" w:hAnsi="Times New Roman"/>
              </w:rPr>
              <w:t>Максимальный процент застройки в границах земельного участка для садоводства и дачного хозяйства,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</w:rPr>
            </w:pPr>
            <w:r>
              <w:rPr>
                <w:rFonts w:eastAsia="MS MinNew Roman"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36"/>
              </w:numPr>
              <w:spacing w:before="0" w:after="0"/>
              <w:ind w:left="-38" w:hanging="0"/>
              <w:contextualSpacing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</w:rPr>
            </w:pPr>
            <w:r>
              <w:rPr>
                <w:rFonts w:eastAsia="MS MinNew Roman" w:ascii="Times New Roman" w:hAnsi="Times New Roman"/>
              </w:rPr>
              <w:t xml:space="preserve">Максимальный процент застройки </w:t>
            </w:r>
            <w:r>
              <w:rPr>
                <w:rFonts w:eastAsia="Times New Roman" w:ascii="Times New Roman" w:hAnsi="Times New Roman"/>
              </w:rPr>
              <w:t xml:space="preserve">для размещения </w:t>
            </w:r>
            <w:r>
              <w:rPr>
                <w:rFonts w:ascii="Times New Roman" w:hAnsi="Times New Roman"/>
                <w:bCs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</w:rPr>
            </w:pPr>
            <w:r>
              <w:rPr>
                <w:rFonts w:eastAsia="MS MinNew Roman" w:ascii="Times New Roman" w:hAnsi="Times New Roman"/>
              </w:rPr>
              <w:t>90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MS MinNew Roman" w:ascii="Times 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</w:rPr>
              <w:t>90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</w:rPr>
              <w:t>90</w:t>
            </w:r>
          </w:p>
        </w:tc>
      </w:tr>
      <w:tr>
        <w:trPr>
          <w:trHeight w:val="6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37"/>
              </w:numPr>
              <w:spacing w:before="0" w:after="0"/>
              <w:ind w:left="-38" w:hanging="0"/>
              <w:contextualSpacing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Максимальный процент застройки в границах земельного участка в иных случаях, за исключением случаев, указанных в пунктах 22-27 настоящей таблицы,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</w:rPr>
              <w:t>90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</w:tr>
      <w:tr>
        <w:trPr>
          <w:trHeight w:val="31" w:hRule="atLeast"/>
        </w:trPr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ind w:left="-38" w:hanging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eastAsia="Times New Roman" w:ascii="Times New Roman" w:hAnsi="Times New Roman"/>
                <w:b/>
              </w:rPr>
              <w:t>Иные показатели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38"/>
              </w:numPr>
              <w:spacing w:before="0" w:after="0"/>
              <w:ind w:left="-38" w:hanging="0"/>
              <w:contextualSpacing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Минимальный отступ (бытовой разрыв) между зданиями индивидуальной жилой застройки и (или) зданиями блокированной жилой застройки,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39"/>
              </w:numPr>
              <w:spacing w:before="0" w:after="0"/>
              <w:ind w:left="-38" w:hanging="0"/>
              <w:contextualSpacing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Минимальный отступ (бытовой разрыв) между  зданиями многоквартирной жилой застройки,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167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40"/>
              </w:numPr>
              <w:spacing w:before="0" w:after="0"/>
              <w:ind w:left="-38" w:hanging="0"/>
              <w:contextualSpacing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Максимальное количество автономных жилых блоков в блокированном жилом доме, шт.</w:t>
            </w:r>
          </w:p>
        </w:tc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 подлежит ограничению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 подлежит ограничению</w:t>
            </w:r>
          </w:p>
        </w:tc>
      </w:tr>
      <w:tr>
        <w:trPr>
          <w:trHeight w:val="410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41"/>
              </w:numPr>
              <w:spacing w:before="0" w:after="0"/>
              <w:ind w:left="-38" w:hanging="0"/>
              <w:contextualSpacing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кв.м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392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42"/>
              </w:numPr>
              <w:spacing w:before="0" w:after="0"/>
              <w:ind w:left="-38" w:hanging="0"/>
              <w:contextualSpacing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кв.м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43"/>
              </w:numPr>
              <w:spacing w:before="0" w:after="0"/>
              <w:ind w:left="-38" w:hanging="0"/>
              <w:contextualSpacing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отдельно стоящих зданий объектов физической культуры и спорта, кв.м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44"/>
              </w:numPr>
              <w:spacing w:before="0" w:after="0"/>
              <w:ind w:left="-38" w:hanging="0"/>
              <w:contextualSpacing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3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numPr>
                <w:ilvl w:val="0"/>
                <w:numId w:val="45"/>
              </w:numPr>
              <w:spacing w:before="0" w:after="0"/>
              <w:ind w:left="-38" w:hanging="0"/>
              <w:contextualSpacing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>
      <w:pPr>
        <w:pStyle w:val="Normal"/>
        <w:ind w:right="-1" w:firstLine="70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</w:t>
      </w:r>
    </w:p>
    <w:p>
      <w:pPr>
        <w:pStyle w:val="Normal"/>
        <w:spacing w:lineRule="auto" w:line="36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360"/>
        <w:ind w:firstLine="709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7) статью 30 Правил изложить в следующей редакции:</w:t>
      </w:r>
    </w:p>
    <w:p>
      <w:pPr>
        <w:pStyle w:val="Normal"/>
        <w:ind w:firstLine="851"/>
        <w:jc w:val="both"/>
        <w:rPr>
          <w:rFonts w:ascii="Times New Roman" w:hAnsi="Times New Roman" w:eastAsia="MS Min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b/>
          <w:sz w:val="26"/>
          <w:szCs w:val="26"/>
        </w:rPr>
        <w:t>Статья 30. 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зонах, подзонах производственных зон и зонах инженерной и транспортной инфраструктур</w:t>
      </w:r>
    </w:p>
    <w:tbl>
      <w:tblPr>
        <w:tblW w:w="992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92"/>
        <w:gridCol w:w="2885"/>
        <w:gridCol w:w="1198"/>
        <w:gridCol w:w="1320"/>
        <w:gridCol w:w="1276"/>
        <w:gridCol w:w="1276"/>
        <w:gridCol w:w="1275"/>
      </w:tblGrid>
      <w:tr>
        <w:trPr/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№ </w:t>
            </w:r>
            <w:r>
              <w:rPr>
                <w:rFonts w:eastAsia="Times New Roman" w:ascii="Times New Roman" w:hAnsi="Times New Roman"/>
                <w:b/>
              </w:rPr>
              <w:t>п/п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/>
                <w:b/>
              </w:rPr>
            </w:pPr>
            <w:r>
              <w:rPr>
                <w:rFonts w:eastAsia="Times New Roman" w:ascii="Times New Roman" w:hAnsi="Times New Roman"/>
                <w:b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>параметра</w:t>
            </w:r>
          </w:p>
        </w:tc>
        <w:tc>
          <w:tcPr>
            <w:tcW w:w="6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Значение предельных </w:t>
            </w:r>
            <w:r>
              <w:rPr>
                <w:rFonts w:ascii="Times New Roman" w:hAnsi="Times New Roman"/>
                <w:b/>
              </w:rPr>
              <w:t>размеров земельных участков и</w:t>
            </w:r>
            <w:r>
              <w:rPr>
                <w:rFonts w:eastAsia="Times New Roman" w:ascii="Times New Roman" w:hAnsi="Times New Roman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>
        <w:trPr/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 w:eastAsia="MS MinNew Roman"/>
                <w:b/>
                <w:b/>
                <w:bCs/>
                <w:sz w:val="20"/>
                <w:szCs w:val="20"/>
              </w:rPr>
            </w:pPr>
            <w:r>
              <w:rPr>
                <w:rFonts w:eastAsia="MS MinNew Roman" w:ascii="Times New Roman" w:hAnsi="Times New Roman"/>
                <w:b/>
                <w:bCs/>
                <w:sz w:val="20"/>
                <w:szCs w:val="20"/>
              </w:rPr>
              <w:t>П1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 w:eastAsia="MS MinNew Roman"/>
                <w:b/>
                <w:b/>
                <w:bCs/>
                <w:sz w:val="20"/>
                <w:szCs w:val="20"/>
              </w:rPr>
            </w:pPr>
            <w:r>
              <w:rPr>
                <w:rFonts w:eastAsia="MS MinNew Roman" w:ascii="Times New Roman" w:hAnsi="Times New Roman"/>
                <w:b/>
                <w:bCs/>
                <w:sz w:val="20"/>
                <w:szCs w:val="20"/>
              </w:rPr>
              <w:t>П1-4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 w:eastAsia="MS MinNew Roman"/>
                <w:b/>
                <w:b/>
                <w:bCs/>
                <w:sz w:val="20"/>
                <w:szCs w:val="20"/>
              </w:rPr>
            </w:pPr>
            <w:r>
              <w:rPr>
                <w:rFonts w:eastAsia="MS MinNew Roman" w:ascii="Times New Roman" w:hAnsi="Times New Roman"/>
                <w:b/>
                <w:bCs/>
                <w:sz w:val="20"/>
                <w:szCs w:val="20"/>
              </w:rPr>
              <w:t>П1-5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 w:eastAsia="MS MinNew Roman"/>
                <w:b/>
                <w:b/>
                <w:bCs/>
                <w:sz w:val="20"/>
                <w:szCs w:val="20"/>
              </w:rPr>
            </w:pPr>
            <w:r>
              <w:rPr>
                <w:rFonts w:eastAsia="MS MinNew Roman" w:ascii="Times New Roman" w:hAnsi="Times New Roman"/>
                <w:b/>
                <w:bCs/>
                <w:sz w:val="20"/>
                <w:szCs w:val="20"/>
              </w:rPr>
              <w:t>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 w:eastAsia="MS MinNew Roman"/>
                <w:b/>
                <w:b/>
                <w:bCs/>
                <w:sz w:val="20"/>
                <w:szCs w:val="20"/>
              </w:rPr>
            </w:pPr>
            <w:r>
              <w:rPr>
                <w:rFonts w:eastAsia="MS MinNew Roman" w:ascii="Times New Roman" w:hAnsi="Times New Roman"/>
                <w:b/>
                <w:bCs/>
                <w:sz w:val="20"/>
                <w:szCs w:val="20"/>
              </w:rPr>
              <w:t>ИТ</w:t>
            </w:r>
          </w:p>
        </w:tc>
      </w:tr>
      <w:tr>
        <w:trPr/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>
        <w:trPr/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6"/>
              </w:num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Times New Roman" w:ascii="Times New Roman" w:hAnsi="Times New Roman"/>
              </w:rPr>
              <w:t>Минимальная площадь земельного участка, кв.м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600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10</w:t>
            </w:r>
          </w:p>
        </w:tc>
      </w:tr>
      <w:tr>
        <w:trPr/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7"/>
              </w:num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Times New Roman" w:ascii="Times New Roman" w:hAnsi="Times New Roman"/>
              </w:rPr>
              <w:t>Максимальная площадь земельного участка, кв.м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</w:tr>
      <w:tr>
        <w:trPr/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>
        <w:trPr/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8"/>
              </w:numPr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Предельная высота зданий, строений, сооружений, м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30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25</w:t>
            </w:r>
          </w:p>
        </w:tc>
      </w:tr>
      <w:tr>
        <w:trPr/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Минимальные отступы от границ земельных участков </w:t>
            </w:r>
            <w:r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>
        <w:trPr/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9"/>
              </w:numPr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Минимальный отступ от границ земельных участков до зданий, строений, сооружений, м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0</w:t>
            </w:r>
          </w:p>
        </w:tc>
      </w:tr>
      <w:tr>
        <w:trPr/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Максимальный процент застройки </w:t>
            </w:r>
            <w:r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>
        <w:trPr/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0"/>
              </w:numPr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80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</w:tr>
      <w:tr>
        <w:trPr/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1"/>
              </w:numPr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60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60</w:t>
            </w:r>
          </w:p>
        </w:tc>
      </w:tr>
      <w:tr>
        <w:trPr>
          <w:trHeight w:val="2225" w:hRule="atLeas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2"/>
              </w:numPr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 настоящей таблицы, %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</w:tr>
      <w:tr>
        <w:trPr>
          <w:trHeight w:val="319" w:hRule="atLeast"/>
        </w:trPr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b/>
              </w:rPr>
              <w:t>Иные показатели</w:t>
            </w:r>
          </w:p>
        </w:tc>
      </w:tr>
      <w:tr>
        <w:trPr/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3"/>
              </w:numPr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Максимальный размер санитарно-защитной зоны, м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0</w:t>
            </w:r>
          </w:p>
        </w:tc>
      </w:tr>
      <w:tr>
        <w:trPr/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4"/>
              </w:numPr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2</w:t>
            </w:r>
          </w:p>
        </w:tc>
      </w:tr>
    </w:tbl>
    <w:p>
      <w:pPr>
        <w:pStyle w:val="Normal"/>
        <w:ind w:firstLine="7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</w:t>
      </w:r>
    </w:p>
    <w:p>
      <w:pPr>
        <w:pStyle w:val="Normal"/>
        <w:numPr>
          <w:ilvl w:val="0"/>
          <w:numId w:val="0"/>
        </w:numPr>
        <w:spacing w:lineRule="auto" w:line="360" w:before="240" w:after="240"/>
        <w:ind w:left="0" w:firstLine="709"/>
        <w:jc w:val="both"/>
        <w:outlineLvl w:val="2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8) статью 31 Правил изложить в следующей редакции:</w:t>
      </w:r>
    </w:p>
    <w:p>
      <w:pPr>
        <w:pStyle w:val="Normal"/>
        <w:numPr>
          <w:ilvl w:val="0"/>
          <w:numId w:val="0"/>
        </w:numPr>
        <w:spacing w:before="240" w:after="240"/>
        <w:ind w:left="0" w:firstLine="851"/>
        <w:jc w:val="both"/>
        <w:outlineLvl w:val="2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b/>
          <w:sz w:val="26"/>
          <w:szCs w:val="26"/>
        </w:rPr>
        <w:t>Статья 31.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сельскохозяйственного использования</w:t>
      </w:r>
    </w:p>
    <w:tbl>
      <w:tblPr>
        <w:tblW w:w="10200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6"/>
        <w:gridCol w:w="3259"/>
        <w:gridCol w:w="849"/>
        <w:gridCol w:w="852"/>
        <w:gridCol w:w="990"/>
        <w:gridCol w:w="993"/>
        <w:gridCol w:w="849"/>
        <w:gridCol w:w="994"/>
        <w:gridCol w:w="847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Times New Roman" w:ascii="Times New Roman" w:hAnsi="Times New Roman"/>
                <w:b/>
                <w:kern w:val="2"/>
              </w:rPr>
              <w:t xml:space="preserve">№ </w:t>
            </w:r>
            <w:r>
              <w:rPr>
                <w:rFonts w:eastAsia="Times New Roman" w:ascii="Times New Roman" w:hAnsi="Times New Roman"/>
                <w:b/>
                <w:kern w:val="2"/>
              </w:rPr>
              <w:t>п/п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Times New Roman" w:ascii="Times New Roman" w:hAnsi="Times New Roman"/>
                <w:b/>
                <w:kern w:val="2"/>
              </w:rPr>
              <w:t>Наименование параметра</w:t>
            </w:r>
          </w:p>
        </w:tc>
        <w:tc>
          <w:tcPr>
            <w:tcW w:w="63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Times New Roman" w:ascii="Times New Roman" w:hAnsi="Times New Roman"/>
                <w:b/>
                <w:kern w:val="2"/>
              </w:rPr>
              <w:t xml:space="preserve">Значение предельных </w:t>
            </w:r>
            <w:r>
              <w:rPr>
                <w:rFonts w:eastAsia="Andale Sans UI" w:ascii="Times New Roman" w:hAnsi="Times New Roman"/>
                <w:b/>
                <w:kern w:val="2"/>
              </w:rPr>
              <w:t>размеров земельных участков и</w:t>
            </w:r>
            <w:r>
              <w:rPr>
                <w:rFonts w:eastAsia="Times New Roman" w:ascii="Times New Roman" w:hAnsi="Times New Roman"/>
                <w:b/>
                <w:kern w:val="2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>
        <w:trPr>
          <w:trHeight w:val="30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360"/>
              <w:jc w:val="both"/>
              <w:rPr>
                <w:rFonts w:ascii="Times New Roman" w:hAnsi="Times New Roman" w:eastAsia="MS MinNew Roman"/>
                <w:bCs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360"/>
              <w:jc w:val="both"/>
              <w:rPr>
                <w:rFonts w:ascii="Times New Roman" w:hAnsi="Times New Roman" w:eastAsia="MS MinNew Roman"/>
                <w:bCs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/>
                <w:bCs/>
                <w:kern w:val="2"/>
              </w:rPr>
              <w:t>Сх1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/>
                <w:bCs/>
                <w:kern w:val="2"/>
              </w:rPr>
              <w:t>Сх2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/>
                <w:bCs/>
                <w:kern w:val="2"/>
              </w:rPr>
              <w:t>Сх2-4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/>
                <w:bCs/>
                <w:kern w:val="2"/>
              </w:rPr>
              <w:t>Сх2-5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/>
                <w:bCs/>
                <w:kern w:val="2"/>
              </w:rPr>
              <w:t>Сх3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/>
                <w:bCs/>
                <w:kern w:val="2"/>
              </w:rPr>
              <w:t>Сх4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/>
                <w:bCs/>
                <w:kern w:val="2"/>
              </w:rPr>
              <w:t>Сх5</w:t>
            </w:r>
          </w:p>
        </w:tc>
      </w:tr>
      <w:tr>
        <w:trPr/>
        <w:tc>
          <w:tcPr>
            <w:tcW w:w="101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>
                <w:rFonts w:ascii="Times New Roman" w:hAnsi="Times New Roman" w:eastAsia="Andale Sans UI"/>
                <w:b/>
                <w:b/>
                <w:color w:val="000000"/>
                <w:kern w:val="2"/>
              </w:rPr>
            </w:pPr>
            <w:r>
              <w:rPr>
                <w:rFonts w:eastAsia="Andale Sans UI" w:ascii="Times New Roman" w:hAnsi="Times New Roman"/>
                <w:b/>
                <w:color w:val="000000"/>
                <w:kern w:val="2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5"/>
              </w:numPr>
              <w:tabs>
                <w:tab w:val="clear" w:pos="708"/>
                <w:tab w:val="left" w:pos="806" w:leader="none"/>
              </w:tabs>
              <w:suppressAutoHyphens w:val="true"/>
              <w:snapToGrid w:val="false"/>
              <w:spacing w:before="0" w:after="0"/>
              <w:ind w:left="0" w:hanging="0"/>
              <w:contextualSpacing/>
              <w:rPr>
                <w:rFonts w:ascii="Times New Roman" w:hAnsi="Times New Roman" w:eastAsia="MS MinNew Roman"/>
                <w:b/>
                <w:b/>
                <w:bCs/>
                <w:color w:val="000000"/>
                <w:kern w:val="2"/>
              </w:rPr>
            </w:pPr>
            <w:r>
              <w:rPr>
                <w:rFonts w:eastAsia="MS MinNew Roman" w:ascii="Times New Roman" w:hAnsi="Times New Roman"/>
                <w:b/>
                <w:bCs/>
                <w:color w:val="000000"/>
                <w:kern w:val="2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Times New Roman" w:ascii="Times New Roman" w:hAnsi="Times New Roman"/>
                <w:kern w:val="2"/>
              </w:rPr>
              <w:t>Минимальная площадь земельного участка, кв.м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1000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1000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1000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1000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600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300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Andale Sans UI" w:ascii="Times New Roman" w:hAnsi="Times New Roman"/>
                <w:kern w:val="2"/>
              </w:rPr>
              <w:t>300</w:t>
            </w:r>
          </w:p>
        </w:tc>
      </w:tr>
      <w:tr>
        <w:trPr>
          <w:trHeight w:val="40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6"/>
              </w:numPr>
              <w:suppressAutoHyphens w:val="true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MS MinNew Roman"/>
                <w:bCs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Times New Roman" w:ascii="Times New Roman" w:hAnsi="Times New Roman"/>
                <w:kern w:val="2"/>
              </w:rPr>
              <w:t>Максимальная площадь земельного участка, кв.м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20000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50000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kern w:val="2"/>
              </w:rPr>
              <w:t>200000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50000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3000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3000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3000</w:t>
            </w:r>
          </w:p>
        </w:tc>
      </w:tr>
      <w:tr>
        <w:trPr/>
        <w:tc>
          <w:tcPr>
            <w:tcW w:w="101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>
                <w:rFonts w:ascii="Times New Roman" w:hAnsi="Times New Roman" w:eastAsia="Times New Roman"/>
                <w:b/>
                <w:b/>
                <w:kern w:val="2"/>
              </w:rPr>
            </w:pPr>
            <w:r>
              <w:rPr>
                <w:rFonts w:eastAsia="Times New Roman" w:ascii="Times New Roman" w:hAnsi="Times New Roman"/>
                <w:b/>
                <w:kern w:val="2"/>
              </w:rPr>
              <w:t>Предельное количество этажей или предельная высота зданий, строений, сооружений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7"/>
              </w:numPr>
              <w:suppressAutoHyphens w:val="true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MS MinNew Roman"/>
                <w:b/>
                <w:b/>
                <w:bCs/>
                <w:kern w:val="2"/>
              </w:rPr>
            </w:pPr>
            <w:r>
              <w:rPr>
                <w:rFonts w:eastAsia="MS MinNew Roman" w:ascii="Times New Roman" w:hAnsi="Times New Roman"/>
                <w:b/>
                <w:bCs/>
                <w:kern w:val="2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Предельная высота зданий, строений, сооружений, м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20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10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10</w:t>
            </w:r>
          </w:p>
        </w:tc>
      </w:tr>
      <w:tr>
        <w:trPr/>
        <w:tc>
          <w:tcPr>
            <w:tcW w:w="101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Times New Roman" w:ascii="Times New Roman" w:hAnsi="Times New Roman"/>
                <w:b/>
                <w:kern w:val="2"/>
              </w:rPr>
              <w:t xml:space="preserve">Минимальные отступы от границ земельных участков </w:t>
            </w:r>
            <w:r>
              <w:rPr>
                <w:rFonts w:eastAsia="Andale Sans UI" w:ascii="Times New Roman" w:hAnsi="Times New Roman"/>
                <w:b/>
                <w:color w:val="000000"/>
                <w:kern w:val="2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8"/>
              </w:numPr>
              <w:suppressAutoHyphens w:val="true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MS MinNew Roman"/>
                <w:b/>
                <w:b/>
                <w:bCs/>
                <w:kern w:val="2"/>
              </w:rPr>
            </w:pPr>
            <w:r>
              <w:rPr>
                <w:rFonts w:eastAsia="MS MinNew Roman" w:ascii="Times New Roman" w:hAnsi="Times New Roman"/>
                <w:b/>
                <w:bCs/>
                <w:kern w:val="2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3</w:t>
            </w:r>
          </w:p>
        </w:tc>
      </w:tr>
      <w:tr>
        <w:trPr/>
        <w:tc>
          <w:tcPr>
            <w:tcW w:w="101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Times New Roman" w:ascii="Times New Roman" w:hAnsi="Times New Roman"/>
                <w:b/>
                <w:kern w:val="2"/>
              </w:rPr>
              <w:t xml:space="preserve">Максимальный процент застройки </w:t>
            </w:r>
            <w:r>
              <w:rPr>
                <w:rFonts w:eastAsia="Andale Sans UI" w:ascii="Times New Roman" w:hAnsi="Times New Roman"/>
                <w:b/>
                <w:color w:val="000000"/>
                <w:kern w:val="2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9"/>
              </w:numPr>
              <w:suppressAutoHyphens w:val="true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MS MinNew Roman"/>
                <w:b/>
                <w:b/>
                <w:bCs/>
                <w:kern w:val="2"/>
              </w:rPr>
            </w:pPr>
            <w:r>
              <w:rPr>
                <w:rFonts w:eastAsia="MS MinNew Roman" w:ascii="Times New Roman" w:hAnsi="Times New Roman"/>
                <w:b/>
                <w:bCs/>
                <w:kern w:val="2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kern w:val="2"/>
              </w:rPr>
              <w:t>Максимальный процент застройки в границах земельного участка при застройке земельных участков для садоводства, 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-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40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40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0"/>
              </w:numPr>
              <w:suppressAutoHyphens w:val="true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MS MinNew Roman"/>
                <w:bCs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80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80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-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1"/>
              </w:numPr>
              <w:suppressAutoHyphens w:val="true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MS MinNew Roman"/>
                <w:bCs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MS MinNew Roman"/>
                <w:bCs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60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60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-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2"/>
              </w:numPr>
              <w:suppressAutoHyphens w:val="true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MS MinNew Roman"/>
                <w:bCs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Максимальный процент застройки в границах земельного участка при размещении иных объектов, за исключением случаев,  указанных в пунктах 5-7 настоящей таблицы, 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-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40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40</w:t>
            </w:r>
          </w:p>
        </w:tc>
      </w:tr>
      <w:tr>
        <w:trPr/>
        <w:tc>
          <w:tcPr>
            <w:tcW w:w="101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>
                <w:rFonts w:ascii="Times New Roman" w:hAnsi="Times New Roman" w:eastAsia="Times New Roman"/>
                <w:b/>
                <w:b/>
                <w:kern w:val="2"/>
              </w:rPr>
            </w:pPr>
            <w:r>
              <w:rPr>
                <w:rFonts w:eastAsia="Times New Roman" w:ascii="Times New Roman" w:hAnsi="Times New Roman"/>
                <w:b/>
                <w:kern w:val="2"/>
              </w:rPr>
              <w:t>Иные показатели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3"/>
              </w:numPr>
              <w:suppressAutoHyphens w:val="true"/>
              <w:snapToGrid w:val="false"/>
              <w:spacing w:before="0" w:after="0"/>
              <w:contextualSpacing/>
              <w:rPr>
                <w:rFonts w:ascii="Times New Roman" w:hAnsi="Times New Roman" w:eastAsia="MS MinNew Roman"/>
                <w:bCs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Максимальный размер санитарно-защитной зоны, м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50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0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4"/>
              </w:numPr>
              <w:suppressAutoHyphens w:val="true"/>
              <w:snapToGrid w:val="false"/>
              <w:spacing w:before="0" w:after="0"/>
              <w:contextualSpacing/>
              <w:rPr>
                <w:rFonts w:ascii="Times New Roman" w:hAnsi="Times New Roman" w:eastAsia="MS MinNew Roman"/>
                <w:bCs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1,5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1,5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Andale Sans UI"/>
                <w:kern w:val="2"/>
              </w:rPr>
            </w:pPr>
            <w:r>
              <w:rPr>
                <w:rFonts w:eastAsia="MS MinNew Roman" w:ascii="Times New Roman" w:hAnsi="Times New Roman"/>
                <w:bCs/>
                <w:kern w:val="2"/>
              </w:rPr>
              <w:t>1,5</w:t>
            </w:r>
          </w:p>
        </w:tc>
      </w:tr>
    </w:tbl>
    <w:p>
      <w:pPr>
        <w:pStyle w:val="Normal"/>
        <w:ind w:firstLine="7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</w:t>
      </w:r>
    </w:p>
    <w:p>
      <w:pPr>
        <w:pStyle w:val="Normal"/>
        <w:numPr>
          <w:ilvl w:val="0"/>
          <w:numId w:val="0"/>
        </w:numPr>
        <w:spacing w:lineRule="auto" w:line="360" w:before="240" w:after="240"/>
        <w:ind w:left="0" w:firstLine="709"/>
        <w:jc w:val="both"/>
        <w:outlineLvl w:val="2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9) статью 32 Правил изложить в следующей редакции:</w:t>
      </w:r>
    </w:p>
    <w:p>
      <w:pPr>
        <w:pStyle w:val="Normal"/>
        <w:numPr>
          <w:ilvl w:val="0"/>
          <w:numId w:val="0"/>
        </w:numPr>
        <w:spacing w:before="240" w:after="240"/>
        <w:ind w:left="0" w:firstLine="851"/>
        <w:jc w:val="both"/>
        <w:outlineLvl w:val="2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b/>
          <w:sz w:val="26"/>
          <w:szCs w:val="26"/>
        </w:rPr>
        <w:t>Статья 32.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рекреационного назначения</w:t>
      </w:r>
    </w:p>
    <w:tbl>
      <w:tblPr>
        <w:tblW w:w="993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9"/>
        <w:gridCol w:w="4871"/>
        <w:gridCol w:w="4350"/>
      </w:tblGrid>
      <w:tr>
        <w:trPr>
          <w:trHeight w:val="115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MS MinNew Roman"/>
                <w:bCs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>Наименование параметра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Значение предельных </w:t>
            </w:r>
            <w:r>
              <w:rPr>
                <w:rFonts w:ascii="Times New Roman" w:hAnsi="Times New Roman"/>
                <w:b/>
              </w:rPr>
              <w:t>размеров земельных участков и</w:t>
            </w:r>
            <w:r>
              <w:rPr>
                <w:rFonts w:eastAsia="Times New Roman" w:ascii="Times New Roman" w:hAnsi="Times New Roman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>
        <w:trPr>
          <w:trHeight w:val="36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/>
                <w:b/>
              </w:rPr>
            </w:pPr>
            <w:r>
              <w:rPr>
                <w:rFonts w:eastAsia="MS MinNew Roman" w:ascii="Times New Roman" w:hAnsi="Times New Roman"/>
                <w:b/>
              </w:rPr>
              <w:t>Р2</w:t>
            </w:r>
          </w:p>
        </w:tc>
      </w:tr>
      <w:tr>
        <w:trPr>
          <w:trHeight w:val="368" w:hRule="atLeast"/>
        </w:trPr>
        <w:tc>
          <w:tcPr>
            <w:tcW w:w="9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>
        <w:trPr>
          <w:trHeight w:val="36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1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Times New Roman" w:ascii="Times New Roman" w:hAnsi="Times New Roman"/>
              </w:rPr>
              <w:t>Минимальная площадь земельного участка, кв.м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3000</w:t>
            </w:r>
          </w:p>
        </w:tc>
      </w:tr>
      <w:tr>
        <w:trPr>
          <w:trHeight w:val="36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2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Times New Roman" w:ascii="Times New Roman" w:hAnsi="Times New Roman"/>
              </w:rPr>
              <w:t>Максимальная площадь земельного участка, кв.м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</w:tr>
      <w:tr>
        <w:trPr>
          <w:trHeight w:val="368" w:hRule="atLeast"/>
        </w:trPr>
        <w:tc>
          <w:tcPr>
            <w:tcW w:w="9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>
        <w:trPr>
          <w:trHeight w:val="387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3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Предельная высота зданий, строений, сооружений, м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5</w:t>
            </w:r>
          </w:p>
        </w:tc>
      </w:tr>
      <w:tr>
        <w:trPr>
          <w:trHeight w:val="757" w:hRule="atLeast"/>
        </w:trPr>
        <w:tc>
          <w:tcPr>
            <w:tcW w:w="9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Минимальные отступы от границ земельных участков </w:t>
            </w:r>
            <w:r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>
        <w:trPr>
          <w:trHeight w:val="50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4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</w:tr>
      <w:tr>
        <w:trPr>
          <w:trHeight w:val="757" w:hRule="atLeast"/>
        </w:trPr>
        <w:tc>
          <w:tcPr>
            <w:tcW w:w="9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Максимальный процент застройки </w:t>
            </w:r>
            <w:r>
              <w:rPr>
                <w:rFonts w:ascii="Times New Roman" w:hAnsi="Times New Roman"/>
                <w:b/>
                <w:color w:val="000000"/>
              </w:rPr>
              <w:t>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>
        <w:trPr>
          <w:trHeight w:val="49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5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Максимальный процент застройки в границах земельного участка, %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5</w:t>
            </w:r>
          </w:p>
        </w:tc>
      </w:tr>
      <w:tr>
        <w:trPr>
          <w:trHeight w:val="368" w:hRule="atLeast"/>
        </w:trPr>
        <w:tc>
          <w:tcPr>
            <w:tcW w:w="9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>Иные показатели</w:t>
            </w:r>
          </w:p>
        </w:tc>
      </w:tr>
      <w:tr>
        <w:trPr>
          <w:trHeight w:val="38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6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объектов физкультуры и спорта открытого типа, кв.м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</w:t>
      </w:r>
    </w:p>
    <w:p>
      <w:pPr>
        <w:pStyle w:val="Normal"/>
        <w:numPr>
          <w:ilvl w:val="0"/>
          <w:numId w:val="0"/>
        </w:numPr>
        <w:spacing w:lineRule="auto" w:line="360" w:before="240" w:after="240"/>
        <w:ind w:left="0" w:firstLine="709"/>
        <w:jc w:val="both"/>
        <w:outlineLvl w:val="2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10) статью 32.1 Правил изложить в следующей редакции:</w:t>
      </w:r>
    </w:p>
    <w:p>
      <w:pPr>
        <w:pStyle w:val="Normal"/>
        <w:numPr>
          <w:ilvl w:val="0"/>
          <w:numId w:val="0"/>
        </w:numPr>
        <w:spacing w:before="240" w:after="240"/>
        <w:ind w:left="0" w:firstLine="851"/>
        <w:jc w:val="both"/>
        <w:outlineLvl w:val="2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b/>
          <w:sz w:val="26"/>
          <w:szCs w:val="26"/>
        </w:rPr>
        <w:t>Статья 32.1.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специального назначения</w:t>
      </w:r>
    </w:p>
    <w:tbl>
      <w:tblPr>
        <w:tblW w:w="992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78"/>
        <w:gridCol w:w="4808"/>
        <w:gridCol w:w="4437"/>
      </w:tblGrid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№ </w:t>
            </w:r>
            <w:r>
              <w:rPr>
                <w:rFonts w:eastAsia="Times New Roman" w:ascii="Times New Roman" w:hAnsi="Times New Roman"/>
                <w:b/>
              </w:rPr>
              <w:t>п/п</w:t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>Наименование параметра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Значение предельных </w:t>
            </w:r>
            <w:r>
              <w:rPr>
                <w:rFonts w:ascii="Times New Roman" w:hAnsi="Times New Roman"/>
                <w:b/>
              </w:rPr>
              <w:t>размеров земельных участков и</w:t>
            </w:r>
            <w:r>
              <w:rPr>
                <w:rFonts w:eastAsia="Times New Roman" w:ascii="Times New Roman" w:hAnsi="Times New Roman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MS MinNew Roman" w:ascii="Times New Roman" w:hAnsi="Times New Roman"/>
                <w:b/>
                <w:bCs/>
              </w:rPr>
              <w:t>Сп1</w:t>
            </w:r>
          </w:p>
        </w:tc>
      </w:tr>
      <w:tr>
        <w:trPr/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5"/>
              </w:numPr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Times New Roman" w:ascii="Times New Roman" w:hAnsi="Times New Roman"/>
              </w:rPr>
              <w:t>Минимальная площадь земельного участка, кв.м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6"/>
              </w:numPr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Times New Roman" w:ascii="Times New Roman" w:hAnsi="Times New Roman"/>
              </w:rPr>
              <w:t>Максимальная площадь земельного участка, кв.м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400000</w:t>
            </w:r>
          </w:p>
        </w:tc>
      </w:tr>
      <w:tr>
        <w:trPr/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7"/>
              </w:numPr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Предельная высота зданий, строений, сооружений, м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10</w:t>
            </w:r>
          </w:p>
        </w:tc>
      </w:tr>
      <w:tr>
        <w:trPr/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Минимальные отступы от границ земельных участков </w:t>
            </w:r>
            <w:r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8"/>
              </w:numPr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3</w:t>
            </w:r>
          </w:p>
        </w:tc>
      </w:tr>
      <w:tr>
        <w:trPr/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Максимальный процент застройки </w:t>
            </w:r>
            <w:r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9"/>
              </w:numPr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Максимальный процент застройки в границах земельного участка, %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</w:tr>
      <w:tr>
        <w:trPr/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>Иные показатели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0"/>
              </w:numPr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Максимальный размер санитарно-защитной зоны, м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100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карты градостроительного зонирования сельского поселения Выселки муниципального района Ставропольский Самарской области изложить в редакции согласно Приложения 1,2 к настоящему решению.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Опубликовать настоящее решение в течение десяти дней со дня издания.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Настоящее решение вступает в силу на следующий день после его официального опубликования. 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Собрания представителей</w:t>
      </w:r>
    </w:p>
    <w:p>
      <w:pPr>
        <w:pStyle w:val="Normal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сельского </w:t>
      </w:r>
      <w:r>
        <w:rPr>
          <w:rFonts w:ascii="Times New Roman" w:hAnsi="Times New Roman"/>
          <w:bCs/>
          <w:sz w:val="26"/>
          <w:szCs w:val="26"/>
        </w:rPr>
        <w:t>поселения Выселки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муниципального района </w:t>
      </w:r>
      <w:r>
        <w:rPr>
          <w:rFonts w:ascii="Times New Roman" w:hAnsi="Times New Roman"/>
          <w:sz w:val="26"/>
          <w:szCs w:val="26"/>
        </w:rPr>
        <w:t xml:space="preserve">Ставропольский                                   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Самарской </w:t>
      </w:r>
      <w:r>
        <w:rPr>
          <w:rFonts w:ascii="Times New Roman" w:hAnsi="Times New Roman"/>
        </w:rPr>
        <w:t>области                                                                                                   Ч.М.Дишина</w:t>
      </w:r>
      <w:r>
        <w:rPr>
          <w:rFonts w:ascii="Times New Roman" w:hAnsi="Times New Roman"/>
          <w:sz w:val="26"/>
          <w:szCs w:val="26"/>
        </w:rPr>
        <w:t xml:space="preserve">            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сельского </w:t>
      </w:r>
      <w:r>
        <w:rPr>
          <w:rFonts w:ascii="Times New Roman" w:hAnsi="Times New Roman"/>
          <w:bCs/>
          <w:sz w:val="26"/>
          <w:szCs w:val="26"/>
        </w:rPr>
        <w:t>поселения Выселки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муниципального района Ставропольский</w:t>
      </w:r>
      <w:r>
        <w:rPr>
          <w:rFonts w:ascii="Times New Roman" w:hAnsi="Times New Roman"/>
          <w:sz w:val="26"/>
          <w:szCs w:val="26"/>
        </w:rPr>
        <w:t xml:space="preserve">                                   </w:t>
      </w:r>
    </w:p>
    <w:p>
      <w:pPr>
        <w:pStyle w:val="Normal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Самарской области                                                                                      З.Г. Мердеев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br w:type="page"/>
      </w:r>
    </w:p>
    <w:p>
      <w:pPr>
        <w:pStyle w:val="ConsPlusNormal"/>
        <w:numPr>
          <w:ilvl w:val="0"/>
          <w:numId w:val="0"/>
        </w:numPr>
        <w:ind w:left="4956" w:hanging="0"/>
        <w:jc w:val="center"/>
        <w:outlineLvl w:val="0"/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ConsPlusNormal"/>
        <w:numPr>
          <w:ilvl w:val="0"/>
          <w:numId w:val="0"/>
        </w:numPr>
        <w:ind w:left="4956" w:hanging="0"/>
        <w:jc w:val="center"/>
        <w:outlineLvl w:val="0"/>
        <w:rPr/>
      </w:pPr>
      <w:r>
        <w:rPr>
          <w:color w:val="FF0000"/>
          <w:sz w:val="20"/>
        </w:rPr>
        <w:t>Приложение  №1  к Решению</w:t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>
          <w:color w:val="FF0000"/>
          <w:sz w:val="20"/>
        </w:rPr>
        <w:t xml:space="preserve">Собрания представителей сельского </w:t>
      </w:r>
      <w:r>
        <w:rPr>
          <w:color w:val="FF0000"/>
          <w:sz w:val="20"/>
        </w:rPr>
        <w:t>поселения Выселки</w:t>
      </w:r>
      <w:r>
        <w:rPr>
          <w:color w:val="FF0000"/>
          <w:sz w:val="20"/>
        </w:rPr>
        <w:t xml:space="preserve"> г</w:t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48985" cy="5715635"/>
            <wp:effectExtent l="0" t="0" r="0" b="0"/>
            <wp:wrapSquare wrapText="largest"/>
            <wp:docPr id="2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571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nsPlusNormal"/>
        <w:widowControl w:val="false"/>
        <w:bidi w:val="0"/>
        <w:spacing w:before="0" w:after="0"/>
        <w:ind w:left="0" w:right="0" w:hanging="0"/>
        <w:jc w:val="both"/>
        <w:rPr/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numPr>
          <w:ilvl w:val="0"/>
          <w:numId w:val="0"/>
        </w:numPr>
        <w:ind w:left="4956" w:hanging="0"/>
        <w:jc w:val="center"/>
        <w:outlineLvl w:val="0"/>
        <w:rPr/>
      </w:pPr>
      <w:r>
        <w:rPr>
          <w:color w:val="FF0000"/>
          <w:sz w:val="20"/>
        </w:rPr>
        <w:t>Приложение  №2  к Решению</w:t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>
          <w:color w:val="FF0000"/>
          <w:sz w:val="20"/>
        </w:rPr>
        <w:t>Собрания представителей сельского поселения Выселки  №</w:t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36615" cy="6156325"/>
            <wp:effectExtent l="0" t="0" r="0" b="0"/>
            <wp:wrapSquare wrapText="largest"/>
            <wp:docPr id="3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615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left="4956" w:hanging="0"/>
        <w:jc w:val="center"/>
        <w:rPr>
          <w:rFonts w:ascii="Times New Roman" w:hAnsi="Times New Roman"/>
        </w:rPr>
      </w:pPr>
      <w:r>
        <w:rPr/>
      </w:r>
    </w:p>
    <w:p>
      <w:pPr>
        <w:pStyle w:val="ConsPlusNormal"/>
        <w:ind w:hanging="0"/>
        <w:jc w:val="center"/>
        <w:rPr/>
      </w:pPr>
      <w:r>
        <w:rPr/>
      </w:r>
    </w:p>
    <w:sectPr>
      <w:headerReference w:type="default" r:id="rId5"/>
      <w:type w:val="nextPage"/>
      <w:pgSz w:w="11906" w:h="16838"/>
      <w:pgMar w:left="1418" w:right="560" w:header="567" w:top="851" w:footer="0" w:bottom="851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Lucida Grande CY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18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8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6"/>
        <w:b w:val="false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18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8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6"/>
        <w:b w:val="false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6"/>
    <w:lvlOverride w:ilvl="0">
      <w:startOverride w:val="1"/>
    </w:lvlOverride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  <w:num w:numId="43">
    <w:abstractNumId w:val="6"/>
  </w:num>
  <w:num w:numId="44">
    <w:abstractNumId w:val="6"/>
  </w:num>
  <w:num w:numId="45">
    <w:abstractNumId w:val="6"/>
  </w:num>
  <w:num w:numId="46">
    <w:abstractNumId w:val="7"/>
    <w:lvlOverride w:ilvl="0">
      <w:startOverride w:val="1"/>
    </w:lvlOverride>
  </w:num>
  <w:num w:numId="47">
    <w:abstractNumId w:val="7"/>
  </w:num>
  <w:num w:numId="48">
    <w:abstractNumId w:val="7"/>
  </w:num>
  <w:num w:numId="49">
    <w:abstractNumId w:val="7"/>
  </w:num>
  <w:num w:numId="50">
    <w:abstractNumId w:val="7"/>
  </w:num>
  <w:num w:numId="51">
    <w:abstractNumId w:val="7"/>
  </w:num>
  <w:num w:numId="52">
    <w:abstractNumId w:val="7"/>
  </w:num>
  <w:num w:numId="53">
    <w:abstractNumId w:val="7"/>
  </w:num>
  <w:num w:numId="54">
    <w:abstractNumId w:val="7"/>
  </w:num>
  <w:num w:numId="55">
    <w:abstractNumId w:val="8"/>
    <w:lvlOverride w:ilvl="0">
      <w:startOverride w:val="1"/>
    </w:lvlOverride>
  </w:num>
  <w:num w:numId="56">
    <w:abstractNumId w:val="8"/>
  </w:num>
  <w:num w:numId="57">
    <w:abstractNumId w:val="8"/>
  </w:num>
  <w:num w:numId="58">
    <w:abstractNumId w:val="8"/>
  </w:num>
  <w:num w:numId="59">
    <w:abstractNumId w:val="8"/>
  </w:num>
  <w:num w:numId="60">
    <w:abstractNumId w:val="8"/>
  </w:num>
  <w:num w:numId="61">
    <w:abstractNumId w:val="8"/>
  </w:num>
  <w:num w:numId="62">
    <w:abstractNumId w:val="8"/>
  </w:num>
  <w:num w:numId="63">
    <w:abstractNumId w:val="8"/>
  </w:num>
  <w:num w:numId="64">
    <w:abstractNumId w:val="8"/>
  </w:num>
  <w:num w:numId="65">
    <w:abstractNumId w:val="9"/>
    <w:lvlOverride w:ilvl="0">
      <w:startOverride w:val="1"/>
    </w:lvlOverride>
  </w:num>
  <w:num w:numId="66">
    <w:abstractNumId w:val="9"/>
  </w:num>
  <w:num w:numId="67">
    <w:abstractNumId w:val="9"/>
  </w:num>
  <w:num w:numId="68">
    <w:abstractNumId w:val="9"/>
  </w:num>
  <w:num w:numId="69">
    <w:abstractNumId w:val="9"/>
  </w:num>
  <w:num w:numId="70">
    <w:abstractNumId w:val="9"/>
  </w:num>
</w:numbering>
</file>

<file path=word/settings.xml><?xml version="1.0" encoding="utf-8"?>
<w:settings xmlns:w="http://schemas.openxmlformats.org/wordprocessingml/2006/main">
  <w:zoom w:percent="104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No Spacing" w:semiHidden="0" w:unhideWhenUsed="0" w:qFormat="1"/>
    <w:lsdException w:name="Medium Grid 1" w:unhideWhenUsed="0"/>
    <w:lsdException w:name="Medium Grid 2" w:uiPriority="1" w:semiHidden="0" w:unhideWhenUsed="0" w:qFormat="1"/>
    <w:lsdException w:name="Medium Grid 3" w:uiPriority="60" w:semiHidden="0" w:unhideWhenUsed="0"/>
    <w:lsdException w:name="Dark List" w:uiPriority="61" w:semiHidden="0" w:unhideWhenUsed="0"/>
    <w:lsdException w:name="Colorful Shading" w:uiPriority="62" w:semiHidden="0" w:unhideWhenUsed="0"/>
    <w:lsdException w:name="Colorful List" w:uiPriority="63" w:semiHidden="0" w:unhideWhenUsed="0"/>
    <w:lsdException w:name="Colorful Grid" w:uiPriority="64" w:semiHidden="0" w:unhideWhenUsed="0"/>
    <w:lsdException w:name="Light Shading Accent 1" w:uiPriority="65" w:semiHidden="0" w:unhideWhenUsed="0"/>
    <w:lsdException w:name="Light List Accent 1" w:uiPriority="66" w:semiHidden="0" w:unhideWhenUsed="0"/>
    <w:lsdException w:name="Light Grid Accent 1" w:uiPriority="67" w:semiHidden="0" w:unhideWhenUsed="0"/>
    <w:lsdException w:name="Medium Shading 1 Accent 1" w:uiPriority="68" w:semiHidden="0" w:unhideWhenUsed="0"/>
    <w:lsdException w:name="Medium Shading 2 Accent 1" w:uiPriority="69" w:semiHidden="0" w:unhideWhenUsed="0"/>
    <w:lsdException w:name="Medium List 1 Accent 1" w:uiPriority="70" w:semiHidden="0" w:unhideWhenUsed="0"/>
    <w:lsdException w:name="Revision" w:uiPriority="71" w:semiHidden="0" w:unhideWhenUsed="0"/>
    <w:lsdException w:name="List Paragraph" w:uiPriority="34" w:semiHidden="0" w:unhideWhenUsed="0" w:qFormat="1"/>
    <w:lsdException w:name="Quote" w:uiPriority="73" w:semiHidden="0" w:unhideWhenUsed="0" w:qFormat="1"/>
    <w:lsdException w:name="Intense Quote" w:uiPriority="60" w:semiHidden="0" w:unhideWhenUsed="0" w:qFormat="1"/>
    <w:lsdException w:name="Medium List 2 Accent 1" w:uiPriority="61" w:semiHidden="0" w:unhideWhenUsed="0"/>
    <w:lsdException w:name="Medium Grid 1 Accent 1" w:uiPriority="62" w:semiHidden="0" w:unhideWhenUsed="0"/>
    <w:lsdException w:name="Medium Grid 2 Accent 1" w:uiPriority="63" w:semiHidden="0" w:unhideWhenUsed="0"/>
    <w:lsdException w:name="Medium Grid 3 Accent 1" w:uiPriority="64" w:semiHidden="0" w:unhideWhenUsed="0"/>
    <w:lsdException w:name="Dark List Accent 1" w:uiPriority="65" w:semiHidden="0" w:unhideWhenUsed="0"/>
    <w:lsdException w:name="Colorful Shading Accent 1" w:unhideWhenUsed="0"/>
    <w:lsdException w:name="Colorful List Accent 1" w:uiPriority="34" w:semiHidden="0" w:unhideWhenUsed="0" w:qFormat="1"/>
    <w:lsdException w:name="Colorful Grid Accent 1" w:uiPriority="29" w:semiHidden="0" w:unhideWhenUsed="0" w:qFormat="1"/>
    <w:lsdException w:name="Light Shading Accent 2" w:uiPriority="30" w:semiHidden="0" w:unhideWhenUsed="0" w:qFormat="1"/>
    <w:lsdException w:name="Light List Accent 2" w:uiPriority="66" w:semiHidden="0" w:unhideWhenUsed="0"/>
    <w:lsdException w:name="Light Grid Accent 2" w:uiPriority="67" w:semiHidden="0" w:unhideWhenUsed="0"/>
    <w:lsdException w:name="Medium Shading 1 Accent 2" w:uiPriority="68" w:semiHidden="0" w:unhideWhenUsed="0"/>
    <w:lsdException w:name="Medium Shading 2 Accent 2" w:uiPriority="69" w:semiHidden="0" w:unhideWhenUsed="0"/>
    <w:lsdException w:name="Medium List 1 Accent 2" w:uiPriority="70" w:semiHidden="0" w:unhideWhenUsed="0"/>
    <w:lsdException w:name="Medium List 2 Accent 2" w:uiPriority="71" w:semiHidden="0" w:unhideWhenUsed="0"/>
    <w:lsdException w:name="Medium Grid 1 Accent 2" w:uiPriority="72" w:semiHidden="0" w:unhideWhenUsed="0"/>
    <w:lsdException w:name="Medium Grid 2 Accent 2" w:uiPriority="73" w:semiHidden="0" w:unhideWhenUsed="0"/>
    <w:lsdException w:name="Medium Grid 3 Accent 2" w:uiPriority="60" w:semiHidden="0" w:unhideWhenUsed="0"/>
    <w:lsdException w:name="Dark List Accent 2" w:uiPriority="61" w:semiHidden="0" w:unhideWhenUsed="0"/>
    <w:lsdException w:name="Colorful Shading Accent 2" w:uiPriority="62" w:semiHidden="0" w:unhideWhenUsed="0"/>
    <w:lsdException w:name="Colorful List Accent 2" w:uiPriority="63" w:semiHidden="0" w:unhideWhenUsed="0"/>
    <w:lsdException w:name="Colorful Grid Accent 2" w:uiPriority="64" w:semiHidden="0" w:unhideWhenUsed="0"/>
    <w:lsdException w:name="Light Shading Accent 3" w:uiPriority="65" w:semiHidden="0" w:unhideWhenUsed="0"/>
    <w:lsdException w:name="Light List Accent 3" w:uiPriority="66" w:semiHidden="0" w:unhideWhenUsed="0"/>
    <w:lsdException w:name="Light Grid Accent 3" w:uiPriority="67" w:semiHidden="0" w:unhideWhenUsed="0"/>
    <w:lsdException w:name="Medium Shading 1 Accent 3" w:uiPriority="68" w:semiHidden="0" w:unhideWhenUsed="0"/>
    <w:lsdException w:name="Medium Shading 2 Accent 3" w:uiPriority="69" w:semiHidden="0" w:unhideWhenUsed="0"/>
    <w:lsdException w:name="Medium List 1 Accent 3" w:uiPriority="70" w:semiHidden="0" w:unhideWhenUsed="0"/>
    <w:lsdException w:name="Medium List 2 Accent 3" w:uiPriority="71" w:semiHidden="0" w:unhideWhenUsed="0"/>
    <w:lsdException w:name="Medium Grid 1 Accent 3" w:uiPriority="72" w:semiHidden="0" w:unhideWhenUsed="0"/>
    <w:lsdException w:name="Medium Grid 2 Accent 3" w:uiPriority="73" w:semiHidden="0" w:unhideWhenUsed="0"/>
    <w:lsdException w:name="Medium Grid 3 Accent 3" w:uiPriority="60" w:semiHidden="0" w:unhideWhenUsed="0"/>
    <w:lsdException w:name="Dark List Accent 3" w:uiPriority="61" w:semiHidden="0" w:unhideWhenUsed="0"/>
    <w:lsdException w:name="Colorful Shading Accent 3" w:uiPriority="62" w:semiHidden="0" w:unhideWhenUsed="0"/>
    <w:lsdException w:name="Colorful List Accent 3" w:uiPriority="63" w:semiHidden="0" w:unhideWhenUsed="0"/>
    <w:lsdException w:name="Colorful Grid Accent 3" w:uiPriority="64" w:semiHidden="0" w:unhideWhenUsed="0"/>
    <w:lsdException w:name="Light Shading Accent 4" w:uiPriority="65" w:semiHidden="0" w:unhideWhenUsed="0"/>
    <w:lsdException w:name="Light List Accent 4" w:uiPriority="66" w:semiHidden="0" w:unhideWhenUsed="0"/>
    <w:lsdException w:name="Light Grid Accent 4" w:uiPriority="67" w:semiHidden="0" w:unhideWhenUsed="0"/>
    <w:lsdException w:name="Medium Shading 1 Accent 4" w:uiPriority="68" w:semiHidden="0" w:unhideWhenUsed="0"/>
    <w:lsdException w:name="Medium Shading 2 Accent 4" w:uiPriority="69" w:semiHidden="0" w:unhideWhenUsed="0"/>
    <w:lsdException w:name="Medium List 1 Accent 4" w:uiPriority="70" w:semiHidden="0" w:unhideWhenUsed="0"/>
    <w:lsdException w:name="Medium List 2 Accent 4" w:uiPriority="71" w:semiHidden="0" w:unhideWhenUsed="0"/>
    <w:lsdException w:name="Medium Grid 1 Accent 4" w:uiPriority="72" w:semiHidden="0" w:unhideWhenUsed="0"/>
    <w:lsdException w:name="Medium Grid 2 Accent 4" w:uiPriority="73" w:semiHidden="0" w:unhideWhenUsed="0"/>
    <w:lsdException w:name="Medium Grid 3 Accent 4" w:uiPriority="60" w:semiHidden="0" w:unhideWhenUsed="0"/>
    <w:lsdException w:name="Dark List Accent 4" w:uiPriority="61" w:semiHidden="0" w:unhideWhenUsed="0"/>
    <w:lsdException w:name="Colorful Shading Accent 4" w:uiPriority="62" w:semiHidden="0" w:unhideWhenUsed="0"/>
    <w:lsdException w:name="Colorful List Accent 4" w:uiPriority="63" w:semiHidden="0" w:unhideWhenUsed="0"/>
    <w:lsdException w:name="Colorful Grid Accent 4" w:uiPriority="64" w:semiHidden="0" w:unhideWhenUsed="0"/>
    <w:lsdException w:name="Light Shading Accent 5" w:uiPriority="65" w:semiHidden="0" w:unhideWhenUsed="0"/>
    <w:lsdException w:name="Light List Accent 5" w:uiPriority="66" w:semiHidden="0" w:unhideWhenUsed="0"/>
    <w:lsdException w:name="Light Grid Accent 5" w:uiPriority="67" w:semiHidden="0" w:unhideWhenUsed="0"/>
    <w:lsdException w:name="Medium Shading 1 Accent 5" w:uiPriority="68" w:semiHidden="0" w:unhideWhenUsed="0"/>
    <w:lsdException w:name="Medium Shading 2 Accent 5" w:uiPriority="69" w:semiHidden="0" w:unhideWhenUsed="0"/>
    <w:lsdException w:name="Medium List 1 Accent 5" w:uiPriority="70" w:semiHidden="0" w:unhideWhenUsed="0"/>
    <w:lsdException w:name="Medium List 2 Accent 5" w:uiPriority="71" w:semiHidden="0" w:unhideWhenUsed="0"/>
    <w:lsdException w:name="Medium Grid 1 Accent 5" w:uiPriority="72" w:semiHidden="0" w:unhideWhenUsed="0"/>
    <w:lsdException w:name="Medium Grid 2 Accent 5" w:uiPriority="73" w:semiHidden="0" w:unhideWhenUsed="0"/>
    <w:lsdException w:name="Medium Grid 3 Accent 5" w:uiPriority="60" w:semiHidden="0" w:unhideWhenUsed="0"/>
    <w:lsdException w:name="Dark List Accent 5" w:uiPriority="61" w:semiHidden="0" w:unhideWhenUsed="0"/>
    <w:lsdException w:name="Colorful Shading Accent 5" w:uiPriority="62" w:semiHidden="0" w:unhideWhenUsed="0"/>
    <w:lsdException w:name="Colorful List Accent 5" w:uiPriority="63" w:semiHidden="0" w:unhideWhenUsed="0"/>
    <w:lsdException w:name="Colorful Grid Accent 5" w:uiPriority="64" w:semiHidden="0" w:unhideWhenUsed="0"/>
    <w:lsdException w:name="Light Shading Accent 6" w:uiPriority="65" w:semiHidden="0" w:unhideWhenUsed="0"/>
    <w:lsdException w:name="Light List Accent 6" w:uiPriority="66" w:semiHidden="0" w:unhideWhenUsed="0"/>
    <w:lsdException w:name="Light Grid Accent 6" w:uiPriority="67" w:semiHidden="0" w:unhideWhenUsed="0"/>
    <w:lsdException w:name="Medium Shading 1 Accent 6" w:uiPriority="68" w:semiHidden="0" w:unhideWhenUsed="0"/>
    <w:lsdException w:name="Medium Shading 2 Accent 6" w:uiPriority="69" w:semiHidden="0" w:unhideWhenUsed="0"/>
    <w:lsdException w:name="Medium List 1 Accent 6" w:uiPriority="70" w:semiHidden="0" w:unhideWhenUsed="0"/>
    <w:lsdException w:name="Medium List 2 Accent 6" w:uiPriority="71" w:semiHidden="0" w:unhideWhenUsed="0"/>
    <w:lsdException w:name="Medium Grid 1 Accent 6" w:uiPriority="72" w:semiHidden="0" w:unhideWhenUsed="0"/>
    <w:lsdException w:name="Medium Grid 2 Accent 6" w:uiPriority="73" w:semiHidden="0" w:unhideWhenUsed="0"/>
    <w:lsdException w:name="Medium Grid 3 Accent 6" w:uiPriority="60" w:semiHidden="0" w:unhideWhenUsed="0"/>
    <w:lsdException w:name="Dark List Accent 6" w:uiPriority="61" w:semiHidden="0" w:unhideWhenUsed="0"/>
    <w:lsdException w:name="Colorful Shading Accent 6" w:uiPriority="62" w:semiHidden="0" w:unhideWhenUsed="0"/>
    <w:lsdException w:name="Colorful List Accent 6" w:uiPriority="63" w:semiHidden="0" w:unhideWhenUsed="0"/>
    <w:lsdException w:name="Colorful Grid Accent 6" w:uiPriority="64" w:semiHidden="0" w:unhideWhenUsed="0"/>
    <w:lsdException w:name="Subtle Emphasis" w:uiPriority="65" w:semiHidden="0" w:unhideWhenUsed="0" w:qFormat="1"/>
    <w:lsdException w:name="Intense Emphasis" w:uiPriority="66" w:semiHidden="0" w:unhideWhenUsed="0" w:qFormat="1"/>
    <w:lsdException w:name="Subtle Reference" w:uiPriority="67" w:semiHidden="0" w:unhideWhenUsed="0" w:qFormat="1"/>
    <w:lsdException w:name="Intense Reference" w:uiPriority="68" w:semiHidden="0" w:unhideWhenUsed="0" w:qFormat="1"/>
    <w:lsdException w:name="Book Title" w:uiPriority="69" w:semiHidden="0" w:unhideWhenUsed="0" w:qFormat="1"/>
    <w:lsdException w:name="Bibliography" w:uiPriority="70" w:semiHidden="0" w:unhideWhenUsed="0"/>
    <w:lsdException w:name="TOC Heading" w:uiPriority="71" w:qFormat="1"/>
  </w:latentStyles>
  <w:style w:type="paragraph" w:styleId="Normal" w:default="1">
    <w:name w:val="Normal"/>
    <w:qFormat/>
    <w:rsid w:val="006351b8"/>
    <w:pPr>
      <w:widowControl/>
      <w:suppressAutoHyphens w:val="true"/>
      <w:bidi w:val="0"/>
      <w:spacing w:before="0" w:after="0"/>
      <w:jc w:val="left"/>
    </w:pPr>
    <w:rPr>
      <w:rFonts w:ascii="Cambria" w:hAnsi="Cambria" w:eastAsia="MS Mincho" w:cs="Times New Roman"/>
      <w:color w:val="auto"/>
      <w:kern w:val="0"/>
      <w:sz w:val="24"/>
      <w:szCs w:val="24"/>
      <w:lang w:val="ru-RU" w:eastAsia="ru-RU" w:bidi="ar-SA"/>
    </w:rPr>
  </w:style>
  <w:style w:type="paragraph" w:styleId="2">
    <w:name w:val="Heading 2"/>
    <w:basedOn w:val="Normal"/>
    <w:next w:val="Normal"/>
    <w:link w:val="20"/>
    <w:qFormat/>
    <w:rsid w:val="002458df"/>
    <w:pPr>
      <w:keepNext w:val="true"/>
      <w:numPr>
        <w:ilvl w:val="0"/>
        <w:numId w:val="1"/>
      </w:numPr>
      <w:spacing w:before="240" w:after="60"/>
      <w:jc w:val="center"/>
      <w:outlineLvl w:val="0"/>
    </w:pPr>
    <w:rPr>
      <w:rFonts w:ascii="Times New Roman" w:hAnsi="Times New Roman" w:eastAsia="Times New Roman"/>
      <w:bCs/>
      <w:iCs/>
      <w:caps/>
      <w:szCs w:val="28"/>
      <w:lang w:val="en-US" w:eastAsia="en-US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сноски Знак"/>
    <w:link w:val="a3"/>
    <w:uiPriority w:val="99"/>
    <w:qFormat/>
    <w:rsid w:val="005a74df"/>
    <w:rPr>
      <w:sz w:val="24"/>
      <w:szCs w:val="24"/>
    </w:rPr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uiPriority w:val="99"/>
    <w:unhideWhenUsed/>
    <w:qFormat/>
    <w:rsid w:val="005a74df"/>
    <w:rPr>
      <w:vertAlign w:val="superscript"/>
    </w:rPr>
  </w:style>
  <w:style w:type="character" w:styleId="Style15" w:customStyle="1">
    <w:name w:val="Верхний колонтитул Знак"/>
    <w:link w:val="a6"/>
    <w:uiPriority w:val="99"/>
    <w:qFormat/>
    <w:rsid w:val="007a342d"/>
    <w:rPr>
      <w:sz w:val="24"/>
      <w:szCs w:val="24"/>
    </w:rPr>
  </w:style>
  <w:style w:type="character" w:styleId="Pagenumber">
    <w:name w:val="page number"/>
    <w:uiPriority w:val="99"/>
    <w:unhideWhenUsed/>
    <w:qFormat/>
    <w:rsid w:val="007a342d"/>
    <w:rPr/>
  </w:style>
  <w:style w:type="character" w:styleId="Style16" w:customStyle="1">
    <w:name w:val="Нижний колонтитул Знак"/>
    <w:link w:val="a9"/>
    <w:uiPriority w:val="99"/>
    <w:qFormat/>
    <w:rsid w:val="00ec0f77"/>
    <w:rPr>
      <w:sz w:val="24"/>
      <w:szCs w:val="24"/>
    </w:rPr>
  </w:style>
  <w:style w:type="character" w:styleId="Style17" w:customStyle="1">
    <w:name w:val="Схема документа Знак"/>
    <w:link w:val="ab"/>
    <w:uiPriority w:val="99"/>
    <w:semiHidden/>
    <w:qFormat/>
    <w:rsid w:val="006b3d34"/>
    <w:rPr>
      <w:rFonts w:ascii="Lucida Grande CY" w:hAnsi="Lucida Grande CY" w:cs="Lucida Grande CY"/>
      <w:sz w:val="24"/>
      <w:szCs w:val="24"/>
    </w:rPr>
  </w:style>
  <w:style w:type="character" w:styleId="Annotationreference">
    <w:name w:val="annotation reference"/>
    <w:uiPriority w:val="99"/>
    <w:semiHidden/>
    <w:unhideWhenUsed/>
    <w:qFormat/>
    <w:rsid w:val="00887bbd"/>
    <w:rPr>
      <w:sz w:val="16"/>
      <w:szCs w:val="16"/>
    </w:rPr>
  </w:style>
  <w:style w:type="character" w:styleId="Style18" w:customStyle="1">
    <w:name w:val="Текст примечания Знак"/>
    <w:link w:val="ae"/>
    <w:uiPriority w:val="99"/>
    <w:semiHidden/>
    <w:qFormat/>
    <w:rsid w:val="00e6154f"/>
    <w:rPr>
      <w:sz w:val="24"/>
      <w:szCs w:val="24"/>
    </w:rPr>
  </w:style>
  <w:style w:type="character" w:styleId="Style19" w:customStyle="1">
    <w:name w:val="Тема примечания Знак"/>
    <w:link w:val="af0"/>
    <w:uiPriority w:val="99"/>
    <w:semiHidden/>
    <w:qFormat/>
    <w:rsid w:val="00e6154f"/>
    <w:rPr>
      <w:b/>
      <w:bCs/>
      <w:sz w:val="24"/>
      <w:szCs w:val="24"/>
    </w:rPr>
  </w:style>
  <w:style w:type="character" w:styleId="Style20" w:customStyle="1">
    <w:name w:val="Текст выноски Знак"/>
    <w:link w:val="af2"/>
    <w:uiPriority w:val="99"/>
    <w:semiHidden/>
    <w:qFormat/>
    <w:rsid w:val="00e6154f"/>
    <w:rPr>
      <w:rFonts w:ascii="Lucida Grande CY" w:hAnsi="Lucida Grande CY" w:cs="Lucida Grande CY"/>
      <w:sz w:val="18"/>
      <w:szCs w:val="18"/>
    </w:rPr>
  </w:style>
  <w:style w:type="character" w:styleId="21" w:customStyle="1">
    <w:name w:val="Заголовок 2 Знак"/>
    <w:link w:val="2"/>
    <w:qFormat/>
    <w:rsid w:val="002458df"/>
    <w:rPr>
      <w:rFonts w:ascii="Times New Roman" w:hAnsi="Times New Roman" w:eastAsia="Times New Roman"/>
      <w:bCs/>
      <w:iCs/>
      <w:caps/>
      <w:sz w:val="24"/>
      <w:szCs w:val="28"/>
      <w:lang w:val="en-US" w:eastAsia="en-US"/>
    </w:rPr>
  </w:style>
  <w:style w:type="character" w:styleId="Style21">
    <w:name w:val="Интернет-ссылка"/>
    <w:uiPriority w:val="99"/>
    <w:unhideWhenUsed/>
    <w:rsid w:val="00303661"/>
    <w:rPr>
      <w:color w:val="0000FF"/>
      <w:u w:val="single"/>
    </w:rPr>
  </w:style>
  <w:style w:type="character" w:styleId="Style22">
    <w:name w:val="Посещённая гиперссылка"/>
    <w:basedOn w:val="DefaultParagraphFont"/>
    <w:uiPriority w:val="99"/>
    <w:semiHidden/>
    <w:unhideWhenUsed/>
    <w:rsid w:val="00145d7c"/>
    <w:rPr>
      <w:color w:val="800080" w:themeColor="followedHyperlink"/>
      <w:u w:val="single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4">
    <w:name w:val="Body Text"/>
    <w:basedOn w:val="Normal"/>
    <w:pPr>
      <w:spacing w:lineRule="auto" w:line="276" w:before="0" w:after="140"/>
    </w:pPr>
    <w:rPr/>
  </w:style>
  <w:style w:type="paragraph" w:styleId="Style25">
    <w:name w:val="List"/>
    <w:basedOn w:val="Style24"/>
    <w:pPr/>
    <w:rPr>
      <w:rFonts w:cs="Ari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Arial"/>
    </w:rPr>
  </w:style>
  <w:style w:type="paragraph" w:styleId="Style28">
    <w:name w:val="Footnote Text"/>
    <w:basedOn w:val="Normal"/>
    <w:link w:val="a4"/>
    <w:uiPriority w:val="99"/>
    <w:unhideWhenUsed/>
    <w:rsid w:val="005a74df"/>
    <w:pPr/>
    <w:rPr/>
  </w:style>
  <w:style w:type="paragraph" w:styleId="Style29">
    <w:name w:val="Верхний и нижний колонтитулы"/>
    <w:basedOn w:val="Normal"/>
    <w:qFormat/>
    <w:pPr/>
    <w:rPr/>
  </w:style>
  <w:style w:type="paragraph" w:styleId="Style30">
    <w:name w:val="Header"/>
    <w:basedOn w:val="Normal"/>
    <w:link w:val="a7"/>
    <w:uiPriority w:val="99"/>
    <w:unhideWhenUsed/>
    <w:rsid w:val="007a342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1">
    <w:name w:val="Footer"/>
    <w:basedOn w:val="Normal"/>
    <w:link w:val="aa"/>
    <w:uiPriority w:val="99"/>
    <w:unhideWhenUsed/>
    <w:rsid w:val="00ec0f7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ocumentMap">
    <w:name w:val="Document Map"/>
    <w:basedOn w:val="Normal"/>
    <w:link w:val="ac"/>
    <w:uiPriority w:val="99"/>
    <w:semiHidden/>
    <w:unhideWhenUsed/>
    <w:qFormat/>
    <w:rsid w:val="006b3d34"/>
    <w:pPr/>
    <w:rPr>
      <w:rFonts w:ascii="Lucida Grande CY" w:hAnsi="Lucida Grande CY" w:cs="Lucida Grande CY"/>
    </w:rPr>
  </w:style>
  <w:style w:type="paragraph" w:styleId="Annotationtext">
    <w:name w:val="annotation text"/>
    <w:basedOn w:val="Normal"/>
    <w:link w:val="af"/>
    <w:uiPriority w:val="99"/>
    <w:semiHidden/>
    <w:unhideWhenUsed/>
    <w:qFormat/>
    <w:rsid w:val="00e6154f"/>
    <w:pPr/>
    <w:rPr/>
  </w:style>
  <w:style w:type="paragraph" w:styleId="Annotationsubject">
    <w:name w:val="annotation subject"/>
    <w:basedOn w:val="Annotationtext"/>
    <w:next w:val="Annotationtext"/>
    <w:link w:val="af1"/>
    <w:uiPriority w:val="99"/>
    <w:semiHidden/>
    <w:unhideWhenUsed/>
    <w:qFormat/>
    <w:rsid w:val="00e6154f"/>
    <w:pPr/>
    <w:rPr>
      <w:b/>
      <w:bCs/>
      <w:sz w:val="20"/>
      <w:szCs w:val="20"/>
    </w:rPr>
  </w:style>
  <w:style w:type="paragraph" w:styleId="BalloonText">
    <w:name w:val="Balloon Text"/>
    <w:basedOn w:val="Normal"/>
    <w:link w:val="af3"/>
    <w:uiPriority w:val="99"/>
    <w:semiHidden/>
    <w:unhideWhenUsed/>
    <w:qFormat/>
    <w:rsid w:val="00e6154f"/>
    <w:pPr/>
    <w:rPr>
      <w:rFonts w:ascii="Lucida Grande CY" w:hAnsi="Lucida Grande CY" w:cs="Lucida Grande CY"/>
      <w:sz w:val="18"/>
      <w:szCs w:val="18"/>
    </w:rPr>
  </w:style>
  <w:style w:type="paragraph" w:styleId="ListParagraph">
    <w:name w:val="List Paragraph"/>
    <w:basedOn w:val="Normal"/>
    <w:uiPriority w:val="34"/>
    <w:qFormat/>
    <w:rsid w:val="006000ac"/>
    <w:pPr>
      <w:spacing w:before="0" w:after="0"/>
      <w:ind w:left="720" w:firstLine="709"/>
      <w:contextualSpacing/>
      <w:jc w:val="both"/>
    </w:pPr>
    <w:rPr>
      <w:rFonts w:ascii="Calibri" w:hAnsi="Calibri" w:eastAsia="Calibri"/>
      <w:sz w:val="22"/>
      <w:szCs w:val="22"/>
      <w:lang w:eastAsia="en-US"/>
    </w:rPr>
  </w:style>
  <w:style w:type="paragraph" w:styleId="Msonormal" w:customStyle="1">
    <w:name w:val="msonormal"/>
    <w:basedOn w:val="Normal"/>
    <w:qFormat/>
    <w:rsid w:val="006534b7"/>
    <w:pPr>
      <w:spacing w:beforeAutospacing="1" w:afterAutospacing="1"/>
    </w:pPr>
    <w:rPr>
      <w:rFonts w:ascii="Times New Roman" w:hAnsi="Times New Roman" w:eastAsia="Times New Roman"/>
    </w:rPr>
  </w:style>
  <w:style w:type="paragraph" w:styleId="ConsPlusTitle" w:customStyle="1">
    <w:name w:val="ConsPlusTitle"/>
    <w:qFormat/>
    <w:rsid w:val="006534b7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Style32">
    <w:name w:val="Содержимое врезки"/>
    <w:basedOn w:val="Normal"/>
    <w:qFormat/>
    <w:pPr/>
    <w:rPr/>
  </w:style>
  <w:style w:type="paragraph" w:styleId="NormalWeb">
    <w:name w:val="Normal (Web)"/>
    <w:basedOn w:val="Normal"/>
    <w:qFormat/>
    <w:pPr>
      <w:widowControl/>
      <w:suppressAutoHyphens w:val="false"/>
      <w:spacing w:beforeAutospacing="1" w:after="119"/>
    </w:pPr>
    <w:rPr>
      <w:rFonts w:ascii="Times New Roman" w:hAnsi="Times New Roman" w:eastAsia="Times New Roman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8a01f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header" Target="head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LibreOffice/7.0.4.2$Windows_X86_64 LibreOffice_project/dcf040e67528d9187c66b2379df5ea4407429775</Application>
  <AppVersion>15.0000</AppVersion>
  <Pages>18</Pages>
  <Words>3043</Words>
  <Characters>21071</Characters>
  <CharactersWithSpaces>23848</CharactersWithSpaces>
  <Paragraphs>663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2020-12-08T11:51:00Z</dcterms:created>
  <dc:creator>Игорь Лопатин</dc:creator>
  <dc:description/>
  <dc:language>ru-RU</dc:language>
  <cp:lastModifiedBy/>
  <cp:lastPrinted>2020-10-09T07:59:00Z</cp:lastPrinted>
  <dcterms:modified xsi:type="dcterms:W3CDTF">2021-01-26T15:30:50Z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